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4" w:lineRule="exact" w:before="0"/>
        <w:ind w:left="1126" w:right="0" w:firstLine="0"/>
        <w:jc w:val="left"/>
        <w:rPr>
          <w:rFonts w:ascii="標楷體" w:hAnsi="標楷體" w:cs="標楷體" w:eastAsia="標楷體"/>
          <w:sz w:val="40"/>
          <w:szCs w:val="40"/>
        </w:rPr>
      </w:pPr>
      <w:r>
        <w:rPr>
          <w:rFonts w:ascii="標楷體" w:hAnsi="標楷體" w:cs="標楷體" w:eastAsia="標楷體"/>
          <w:b/>
          <w:bCs/>
          <w:spacing w:val="1"/>
          <w:sz w:val="40"/>
          <w:szCs w:val="40"/>
        </w:rPr>
        <w:t>國立中山大學理學院教師升等審查評分細則</w:t>
      </w:r>
      <w:r>
        <w:rPr>
          <w:rFonts w:ascii="標楷體" w:hAnsi="標楷體" w:cs="標楷體" w:eastAsia="標楷體"/>
          <w:sz w:val="40"/>
          <w:szCs w:val="40"/>
        </w:rPr>
      </w:r>
    </w:p>
    <w:p>
      <w:pPr>
        <w:spacing w:line="240" w:lineRule="auto" w:before="7"/>
        <w:rPr>
          <w:rFonts w:ascii="標楷體" w:hAnsi="標楷體" w:cs="標楷體" w:eastAsia="標楷體"/>
          <w:b/>
          <w:bCs/>
          <w:sz w:val="37"/>
          <w:szCs w:val="37"/>
        </w:rPr>
      </w:pPr>
    </w:p>
    <w:p>
      <w:pPr>
        <w:spacing w:line="262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88.12.27.</w:t>
      </w:r>
      <w:r>
        <w:rPr>
          <w:rFonts w:ascii="標楷體" w:hAnsi="標楷體" w:cs="標楷體" w:eastAsia="標楷體"/>
          <w:spacing w:val="-1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88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次教評會訂定</w:t>
      </w:r>
    </w:p>
    <w:p>
      <w:pPr>
        <w:spacing w:line="262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89.04.25.</w:t>
      </w:r>
      <w:r>
        <w:rPr>
          <w:rFonts w:ascii="標楷體" w:hAnsi="標楷體" w:cs="標楷體" w:eastAsia="標楷體"/>
          <w:spacing w:val="-1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232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次教評會核備</w:t>
      </w:r>
    </w:p>
    <w:p>
      <w:pPr>
        <w:spacing w:line="262" w:lineRule="exact" w:before="0"/>
        <w:ind w:left="5707" w:right="108" w:firstLine="0"/>
        <w:jc w:val="center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89.10.31.</w:t>
      </w:r>
      <w:r>
        <w:rPr>
          <w:rFonts w:ascii="標楷體" w:hAnsi="標楷體" w:cs="標楷體" w:eastAsia="標楷體"/>
          <w:spacing w:val="-1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59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89.11.27.</w:t>
      </w:r>
      <w:r>
        <w:rPr>
          <w:rFonts w:ascii="標楷體" w:hAnsi="標楷體" w:cs="標楷體" w:eastAsia="標楷體"/>
          <w:spacing w:val="-2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240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次教評會核備</w:t>
      </w:r>
    </w:p>
    <w:p>
      <w:pPr>
        <w:spacing w:line="259" w:lineRule="exact" w:before="0"/>
        <w:ind w:left="5707" w:right="108" w:firstLine="0"/>
        <w:jc w:val="center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92.03.27.</w:t>
      </w:r>
      <w:r>
        <w:rPr>
          <w:rFonts w:ascii="標楷體" w:hAnsi="標楷體" w:cs="標楷體" w:eastAsia="標楷體"/>
          <w:spacing w:val="-1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91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59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92.05.14.</w:t>
      </w:r>
      <w:r>
        <w:rPr>
          <w:rFonts w:ascii="標楷體" w:hAnsi="標楷體" w:cs="標楷體" w:eastAsia="標楷體"/>
          <w:spacing w:val="-1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次教評會核備</w:t>
      </w:r>
    </w:p>
    <w:p>
      <w:pPr>
        <w:spacing w:line="262" w:lineRule="exact" w:before="0"/>
        <w:ind w:left="5707" w:right="108" w:firstLine="0"/>
        <w:jc w:val="center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96.12.05.</w:t>
      </w:r>
      <w:r>
        <w:rPr>
          <w:rFonts w:ascii="標楷體" w:hAnsi="標楷體" w:cs="標楷體" w:eastAsia="標楷體"/>
          <w:spacing w:val="-1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96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62" w:lineRule="exact" w:before="0"/>
        <w:ind w:left="5707" w:right="109" w:firstLine="0"/>
        <w:jc w:val="center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98.09.24.</w:t>
      </w:r>
      <w:r>
        <w:rPr>
          <w:rFonts w:ascii="標楷體" w:hAnsi="標楷體" w:cs="標楷體" w:eastAsia="標楷體"/>
          <w:spacing w:val="-1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98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59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98.10.08.</w:t>
      </w:r>
      <w:r>
        <w:rPr>
          <w:rFonts w:ascii="標楷體" w:hAnsi="標楷體" w:cs="標楷體" w:eastAsia="標楷體"/>
          <w:spacing w:val="-1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323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次教評會核備</w:t>
      </w:r>
    </w:p>
    <w:p>
      <w:pPr>
        <w:spacing w:line="259" w:lineRule="exact" w:before="0"/>
        <w:ind w:left="5707" w:right="109" w:firstLine="0"/>
        <w:jc w:val="center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99.09.27.</w:t>
      </w:r>
      <w:r>
        <w:rPr>
          <w:rFonts w:ascii="標楷體" w:hAnsi="標楷體" w:cs="標楷體" w:eastAsia="標楷體"/>
          <w:spacing w:val="-1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59" w:lineRule="exact" w:before="0"/>
        <w:ind w:left="0" w:right="101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99.12.16 </w:t>
      </w:r>
      <w:r>
        <w:rPr>
          <w:rFonts w:ascii="標楷體" w:hAnsi="標楷體" w:cs="標楷體" w:eastAsia="標楷體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331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次校教評會通過</w:t>
      </w:r>
    </w:p>
    <w:p>
      <w:pPr>
        <w:spacing w:line="262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100.11.24.</w:t>
      </w:r>
      <w:r>
        <w:rPr>
          <w:rFonts w:ascii="標楷體" w:hAnsi="標楷體" w:cs="標楷體" w:eastAsia="標楷體"/>
          <w:spacing w:val="-2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62" w:lineRule="exact" w:before="0"/>
        <w:ind w:left="0" w:right="101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101.01.12 </w:t>
      </w:r>
      <w:r>
        <w:rPr>
          <w:rFonts w:ascii="標楷體" w:hAnsi="標楷體" w:cs="標楷體" w:eastAsia="標楷體"/>
          <w:spacing w:val="-2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339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次校教評會通過</w:t>
      </w:r>
    </w:p>
    <w:p>
      <w:pPr>
        <w:spacing w:line="260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102.09.26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102 </w:t>
      </w:r>
      <w:r>
        <w:rPr>
          <w:rFonts w:ascii="標楷體" w:hAnsi="標楷體" w:cs="標楷體" w:eastAsia="標楷體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59" w:lineRule="exact" w:before="0"/>
        <w:ind w:left="0" w:right="101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102.10.17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357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次校教評會通過</w:t>
      </w:r>
    </w:p>
    <w:p>
      <w:pPr>
        <w:spacing w:line="259" w:lineRule="exact" w:before="0"/>
        <w:ind w:left="0" w:right="106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t>依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103.10.16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363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3"/>
          <w:sz w:val="20"/>
          <w:szCs w:val="20"/>
        </w:rPr>
        <w:t>次校教評會決議修訂</w: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line="262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t>依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104.03.26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366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次校教評會決議修訂</w:t>
      </w:r>
    </w:p>
    <w:p>
      <w:pPr>
        <w:spacing w:line="262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104.05.28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103 </w:t>
      </w:r>
      <w:r>
        <w:rPr>
          <w:rFonts w:ascii="標楷體" w:hAnsi="標楷體" w:cs="標楷體" w:eastAsia="標楷體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59" w:lineRule="exact" w:before="0"/>
        <w:ind w:left="0" w:right="101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104.10.22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369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次校教評會通過</w:t>
      </w:r>
    </w:p>
    <w:p>
      <w:pPr>
        <w:spacing w:line="259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104.12.23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104 </w:t>
      </w:r>
      <w:r>
        <w:rPr>
          <w:rFonts w:ascii="標楷體" w:hAnsi="標楷體" w:cs="標楷體" w:eastAsia="標楷體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59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105.2.24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104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次教評會修正通過</w:t>
      </w:r>
    </w:p>
    <w:p>
      <w:pPr>
        <w:spacing w:line="262" w:lineRule="exact" w:before="0"/>
        <w:ind w:left="0" w:right="101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105.03.24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372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次校教評會通過</w:t>
      </w:r>
    </w:p>
    <w:p>
      <w:pPr>
        <w:spacing w:line="262" w:lineRule="exact" w:before="0"/>
        <w:ind w:left="0" w:right="101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107.03.01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106 </w:t>
      </w:r>
      <w:r>
        <w:rPr>
          <w:rFonts w:ascii="標楷體" w:hAnsi="標楷體" w:cs="標楷體" w:eastAsia="標楷體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次教評會議修正通過</w:t>
      </w:r>
    </w:p>
    <w:p>
      <w:pPr>
        <w:spacing w:line="259" w:lineRule="exact" w:before="0"/>
        <w:ind w:left="0" w:right="101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107.04.12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本院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106 </w:t>
      </w:r>
      <w:r>
        <w:rPr>
          <w:rFonts w:ascii="標楷體" w:hAnsi="標楷體" w:cs="標楷體" w:eastAsia="標楷體"/>
          <w:sz w:val="20"/>
          <w:szCs w:val="20"/>
        </w:rPr>
        <w:t>學年度第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次院務會議修正通過</w:t>
      </w:r>
    </w:p>
    <w:p>
      <w:pPr>
        <w:spacing w:line="259" w:lineRule="exact" w:before="0"/>
        <w:ind w:left="0" w:right="101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107.05.03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本校第</w:t>
      </w:r>
      <w:r>
        <w:rPr>
          <w:rFonts w:ascii="標楷體" w:hAnsi="標楷體" w:cs="標楷體" w:eastAsia="標楷體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387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次校教評會通過</w:t>
      </w:r>
    </w:p>
    <w:p>
      <w:pPr>
        <w:spacing w:line="259" w:lineRule="exact" w:before="0"/>
        <w:ind w:left="0" w:right="102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color w:val="FF0000"/>
          <w:spacing w:val="-1"/>
          <w:sz w:val="20"/>
          <w:szCs w:val="20"/>
        </w:rPr>
        <w:t>108.05.28</w:t>
      </w:r>
      <w:r>
        <w:rPr>
          <w:rFonts w:ascii="Times New Roman" w:hAnsi="Times New Roman" w:cs="Times New Roman" w:eastAsia="Times New Roman"/>
          <w:color w:val="FF0000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color w:val="FF0000"/>
          <w:sz w:val="20"/>
          <w:szCs w:val="20"/>
        </w:rPr>
        <w:t>本院</w:t>
      </w:r>
      <w:r>
        <w:rPr>
          <w:rFonts w:ascii="標楷體" w:hAnsi="標楷體" w:cs="標楷體" w:eastAsia="標楷體"/>
          <w:color w:val="FF0000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FF0000"/>
          <w:spacing w:val="-2"/>
          <w:sz w:val="20"/>
          <w:szCs w:val="20"/>
        </w:rPr>
        <w:t>107 </w:t>
      </w:r>
      <w:r>
        <w:rPr>
          <w:rFonts w:ascii="標楷體" w:hAnsi="標楷體" w:cs="標楷體" w:eastAsia="標楷體"/>
          <w:color w:val="FF0000"/>
          <w:sz w:val="20"/>
          <w:szCs w:val="20"/>
        </w:rPr>
        <w:t>學年度第</w:t>
      </w:r>
      <w:r>
        <w:rPr>
          <w:rFonts w:ascii="標楷體" w:hAnsi="標楷體" w:cs="標楷體" w:eastAsia="標楷體"/>
          <w:color w:val="FF0000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FF00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color w:val="FF0000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color w:val="FF0000"/>
          <w:spacing w:val="-2"/>
          <w:sz w:val="20"/>
          <w:szCs w:val="20"/>
        </w:rPr>
        <w:t>次教評會議修正通過</w: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line="262" w:lineRule="exact" w:before="0"/>
        <w:ind w:left="113" w:right="0" w:firstLine="6391"/>
        <w:jc w:val="lef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color w:val="FF0000"/>
          <w:spacing w:val="-1"/>
          <w:sz w:val="20"/>
          <w:szCs w:val="20"/>
        </w:rPr>
        <w:t>108.06.13</w:t>
      </w:r>
      <w:r>
        <w:rPr>
          <w:rFonts w:ascii="Times New Roman" w:hAnsi="Times New Roman" w:cs="Times New Roman" w:eastAsia="Times New Roman"/>
          <w:color w:val="FF0000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color w:val="FF0000"/>
          <w:spacing w:val="-2"/>
          <w:sz w:val="20"/>
          <w:szCs w:val="20"/>
        </w:rPr>
        <w:t>本校第</w:t>
      </w:r>
      <w:r>
        <w:rPr>
          <w:rFonts w:ascii="標楷體" w:hAnsi="標楷體" w:cs="標楷體" w:eastAsia="標楷體"/>
          <w:color w:val="FF0000"/>
          <w:spacing w:val="-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FF0000"/>
          <w:sz w:val="20"/>
          <w:szCs w:val="20"/>
        </w:rPr>
        <w:t>394</w:t>
      </w:r>
      <w:r>
        <w:rPr>
          <w:rFonts w:ascii="Times New Roman" w:hAnsi="Times New Roman" w:cs="Times New Roman" w:eastAsia="Times New Roman"/>
          <w:color w:val="FF0000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color w:val="FF0000"/>
          <w:spacing w:val="-2"/>
          <w:sz w:val="20"/>
          <w:szCs w:val="20"/>
        </w:rPr>
        <w:t>次校教評會通過</w: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line="240" w:lineRule="auto" w:before="12"/>
        <w:rPr>
          <w:rFonts w:ascii="標楷體" w:hAnsi="標楷體" w:cs="標楷體" w:eastAsia="標楷體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一、研究</w:t>
      </w:r>
    </w:p>
    <w:p>
      <w:pPr>
        <w:pStyle w:val="BodyText"/>
        <w:spacing w:line="240" w:lineRule="auto" w:before="46"/>
        <w:ind w:left="39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18.970001pt;margin-top:90.162491pt;width:103.75pt;height:.1pt;mso-position-horizontal-relative:page;mso-position-vertical-relative:paragraph;z-index:-11224" coordorigin="8379,1803" coordsize="2075,2">
            <v:shape style="position:absolute;left:8379;top:1803;width:2075;height:2" coordorigin="8379,1803" coordsize="2075,0" path="m8379,1803l10454,1803e" filled="false" stroked="true" strokeweight=".82003pt" strokecolor="#ff0000">
              <v:path arrowok="t"/>
            </v:shape>
            <w10:wrap type="none"/>
          </v:group>
        </w:pict>
      </w:r>
      <w:r>
        <w:rPr/>
        <w:pict>
          <v:group style="position:absolute;margin-left:377.420013pt;margin-top:105.76252pt;width:132.8pt;height:.1pt;mso-position-horizontal-relative:page;mso-position-vertical-relative:paragraph;z-index:-11200" coordorigin="7548,2115" coordsize="2656,2">
            <v:shape style="position:absolute;left:7548;top:2115;width:2656;height:2" coordorigin="7548,2115" coordsize="2656,0" path="m7548,2115l10204,2115e" filled="false" stroked="true" strokeweight=".81997pt" strokecolor="#ff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</w:rPr>
        <w:t>(</w:t>
      </w:r>
      <w:r>
        <w:rPr/>
        <w:t>一</w:t>
      </w:r>
      <w:r>
        <w:rPr>
          <w:rFonts w:ascii="Times New Roman" w:hAnsi="Times New Roman" w:cs="Times New Roman" w:eastAsia="Times New Roman"/>
        </w:rPr>
        <w:t>)</w:t>
      </w:r>
      <w:r>
        <w:rPr/>
        <w:t>以專門著作送審者 佔 </w:t>
      </w:r>
      <w:r>
        <w:rPr>
          <w:rFonts w:ascii="Times New Roman" w:hAnsi="Times New Roman" w:cs="Times New Roman" w:eastAsia="Times New Roman"/>
        </w:rPr>
        <w:t>70%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850"/>
        <w:gridCol w:w="2910"/>
        <w:gridCol w:w="3122"/>
      </w:tblGrid>
      <w:tr>
        <w:trPr>
          <w:trHeight w:val="370" w:hRule="exact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right="8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A.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研究部份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分滿分</w:t>
            </w:r>
          </w:p>
        </w:tc>
      </w:tr>
      <w:tr>
        <w:trPr>
          <w:trHeight w:val="730" w:hRule="exact"/>
        </w:trPr>
        <w:tc>
          <w:tcPr>
            <w:tcW w:w="6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7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A1.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外審研究部份：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75%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28" w:right="138" w:firstLine="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A2.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七年內本職級研究計畫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獎助及其他學術成就：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25%</w:t>
            </w:r>
          </w:p>
        </w:tc>
      </w:tr>
      <w:tr>
        <w:trPr>
          <w:trHeight w:val="802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 w:before="61"/>
              <w:ind w:left="637" w:right="126" w:hanging="51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專門著作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外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成績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三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位審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8"/>
              <w:ind w:left="18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點數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/>
              <w:ind w:left="359" w:right="100" w:hanging="25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每位審查折算點數後，</w:t>
            </w:r>
            <w:r>
              <w:rPr>
                <w:rFonts w:ascii="標楷體" w:hAnsi="標楷體" w:cs="標楷體" w:eastAsia="標楷體"/>
                <w:spacing w:val="2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三位審查人點數和。</w:t>
            </w:r>
          </w:p>
        </w:tc>
        <w:tc>
          <w:tcPr>
            <w:tcW w:w="3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99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4"/>
                <w:szCs w:val="24"/>
                <w:u w:val="single" w:color="FF0000"/>
              </w:rPr>
              <w:t>A2</w:t>
            </w:r>
            <w:r>
              <w:rPr>
                <w:rFonts w:ascii="Times New Roman" w:hAnsi="Times New Roman" w:cs="Times New Roman" w:eastAsia="Times New Roman"/>
                <w:color w:val="FF0000"/>
                <w:spacing w:val="-2"/>
                <w:sz w:val="24"/>
                <w:szCs w:val="24"/>
                <w:u w:val="single" w:color="FF000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  <w:u w:val="single" w:color="FF0000"/>
              </w:rPr>
              <w:t>各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u w:val="single" w:color="FF0000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計</w:t>
            </w:r>
            <w:r>
              <w:rPr>
                <w:rFonts w:ascii="標楷體" w:hAnsi="標楷體" w:cs="標楷體" w:eastAsia="標楷體"/>
                <w:color w:val="FF0000"/>
                <w:spacing w:val="-44"/>
                <w:sz w:val="24"/>
                <w:szCs w:val="24"/>
              </w:rPr>
              <w:t>分</w:t>
            </w:r>
            <w:r>
              <w:rPr>
                <w:rFonts w:ascii="標楷體" w:hAnsi="標楷體" w:cs="標楷體" w:eastAsia="標楷體"/>
                <w:color w:val="FF0000"/>
                <w:spacing w:val="-48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除其他學術成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37" w:lineRule="auto"/>
              <w:ind w:left="99" w:right="112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color w:val="FF0000"/>
                <w:spacing w:val="1"/>
                <w:sz w:val="24"/>
                <w:szCs w:val="24"/>
              </w:rPr>
              <w:t>就由院教評會審議外，悉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依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本校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教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師升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計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分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表（除研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究部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分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之外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成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績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外）評定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之。</w:t>
            </w:r>
          </w:p>
        </w:tc>
      </w:tr>
      <w:tr>
        <w:trPr>
          <w:trHeight w:val="350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傑出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1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專門著作送外審成績獲</w:t>
            </w:r>
          </w:p>
          <w:p>
            <w:pPr>
              <w:pStyle w:val="TableParagraph"/>
              <w:spacing w:line="275" w:lineRule="auto" w:before="42"/>
              <w:ind w:left="359" w:right="74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三位審查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人</w:t>
            </w:r>
            <w:r>
              <w:rPr>
                <w:rFonts w:ascii="標楷體" w:hAnsi="標楷體" w:cs="標楷體" w:eastAsia="標楷體"/>
                <w:spacing w:val="-8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勾選傑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出</w:t>
            </w:r>
            <w:r>
              <w:rPr>
                <w:rFonts w:ascii="標楷體" w:hAnsi="標楷體" w:cs="標楷體" w:eastAsia="標楷體"/>
                <w:spacing w:val="37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時，院教評會得參考外</w:t>
            </w:r>
          </w:p>
          <w:p>
            <w:pPr>
              <w:pStyle w:val="TableParagraph"/>
              <w:spacing w:line="240" w:lineRule="auto" w:before="11"/>
              <w:ind w:left="35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審委員審查意見酌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加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6"/>
              <w:ind w:left="35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點。</w:t>
            </w:r>
          </w:p>
        </w:tc>
        <w:tc>
          <w:tcPr>
            <w:tcW w:w="3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優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11%-20%)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21%-30%)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1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普通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31%-50%)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欠佳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後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49%)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/>
              <w:ind w:left="99" w:right="10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以上</w:t>
            </w:r>
            <w:r>
              <w:rPr>
                <w:rFonts w:ascii="標楷體" w:hAnsi="標楷體" w:cs="標楷體" w:eastAsia="標楷體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A2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各項成績合計之總</w:t>
            </w:r>
            <w:r>
              <w:rPr>
                <w:rFonts w:ascii="標楷體" w:hAnsi="標楷體" w:cs="標楷體" w:eastAsia="標楷體"/>
                <w:spacing w:val="2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分不得超過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分。</w:t>
            </w:r>
          </w:p>
        </w:tc>
      </w:tr>
      <w:tr>
        <w:trPr>
          <w:trHeight w:val="691" w:hRule="exact"/>
        </w:trPr>
        <w:tc>
          <w:tcPr>
            <w:tcW w:w="6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折算成績分數：合計點數達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點獲基本分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分，每增</w:t>
            </w:r>
          </w:p>
          <w:p>
            <w:pPr>
              <w:pStyle w:val="TableParagraph"/>
              <w:spacing w:line="315" w:lineRule="exact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點加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分，至多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分。本項成績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*0.75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</w:tc>
        <w:tc>
          <w:tcPr>
            <w:tcW w:w="3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2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研究部分實得分數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）ｘ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0.7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5"/>
          <w:type w:val="continuous"/>
          <w:pgSz w:w="11910" w:h="16840"/>
          <w:pgMar w:footer="872" w:top="1200" w:bottom="1060" w:left="1020" w:right="1020"/>
          <w:pgNumType w:start="1"/>
        </w:sectPr>
      </w:pPr>
    </w:p>
    <w:p>
      <w:pPr>
        <w:pStyle w:val="BodyText"/>
        <w:spacing w:line="240" w:lineRule="auto" w:before="3"/>
        <w:ind w:left="31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15.609985pt;margin-top:92.812477pt;width:108.3pt;height:.1pt;mso-position-horizontal-relative:page;mso-position-vertical-relative:paragraph;z-index:-11176" coordorigin="8312,1856" coordsize="2166,2">
            <v:shape style="position:absolute;left:8312;top:1856;width:2166;height:2" coordorigin="8312,1856" coordsize="2166,0" path="m8312,1856l10478,1856e" filled="false" stroked="true" strokeweight=".82pt" strokecolor="#ff0000">
              <v:path arrowok="t"/>
            </v:shape>
            <w10:wrap type="none"/>
          </v:group>
        </w:pict>
      </w:r>
      <w:r>
        <w:rPr/>
        <w:pict>
          <v:group style="position:absolute;margin-left:374.059998pt;margin-top:108.412476pt;width:132.050pt;height:.1pt;mso-position-horizontal-relative:page;mso-position-vertical-relative:paragraph;z-index:-11152" coordorigin="7481,2168" coordsize="2641,2">
            <v:shape style="position:absolute;left:7481;top:2168;width:2641;height:2" coordorigin="7481,2168" coordsize="2641,0" path="m7481,2168l10122,2168e" filled="false" stroked="true" strokeweight=".82pt" strokecolor="#ff0000">
              <v:path arrowok="t"/>
            </v:shape>
            <w10:wrap type="none"/>
          </v:group>
        </w:pict>
      </w:r>
      <w:r>
        <w:rPr/>
        <w:pict>
          <v:group style="position:absolute;margin-left:377.420013pt;margin-top:501.859985pt;width:152.5pt;height:.1pt;mso-position-horizontal-relative:page;mso-position-vertical-relative:page;z-index:-11104" coordorigin="7548,10037" coordsize="3050,2">
            <v:shape style="position:absolute;left:7548;top:10037;width:3050;height:2" coordorigin="7548,10037" coordsize="3050,0" path="m7548,10037l10598,10037e" filled="false" stroked="true" strokeweight=".82pt" strokecolor="#ff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</w:rPr>
        <w:t>(</w:t>
      </w:r>
      <w:r>
        <w:rPr/>
        <w:t>二</w:t>
      </w:r>
      <w:r>
        <w:rPr>
          <w:rFonts w:ascii="Times New Roman" w:hAnsi="Times New Roman" w:cs="Times New Roman" w:eastAsia="Times New Roman"/>
        </w:rPr>
        <w:t>)</w:t>
      </w:r>
      <w:r>
        <w:rPr/>
        <w:t>以技術報告送審者 佔 </w:t>
      </w:r>
      <w:r>
        <w:rPr>
          <w:rFonts w:ascii="Times New Roman" w:hAnsi="Times New Roman" w:cs="Times New Roman" w:eastAsia="Times New Roman"/>
        </w:rPr>
        <w:t>70%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850"/>
        <w:gridCol w:w="2910"/>
        <w:gridCol w:w="3261"/>
      </w:tblGrid>
      <w:tr>
        <w:trPr>
          <w:trHeight w:val="466" w:hRule="exact"/>
        </w:trPr>
        <w:tc>
          <w:tcPr>
            <w:tcW w:w="9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right="3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A.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研究部份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分滿分</w:t>
            </w:r>
          </w:p>
        </w:tc>
      </w:tr>
      <w:tr>
        <w:trPr>
          <w:trHeight w:val="730" w:hRule="exact"/>
        </w:trPr>
        <w:tc>
          <w:tcPr>
            <w:tcW w:w="6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18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A1.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外審研究部份：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40%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325" w:right="141" w:hanging="1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A2.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七年內本職級研究計畫獎</w:t>
            </w:r>
            <w:r>
              <w:rPr>
                <w:rFonts w:ascii="標楷體" w:hAnsi="標楷體" w:cs="標楷體" w:eastAsia="標楷體"/>
                <w:spacing w:val="2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助及其他相關成就：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60%</w:t>
            </w:r>
          </w:p>
        </w:tc>
      </w:tr>
      <w:tr>
        <w:trPr>
          <w:trHeight w:val="806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 w:before="61"/>
              <w:ind w:left="642" w:right="122" w:hanging="51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技術報告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外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成績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三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位審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8"/>
              <w:ind w:left="18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點數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/>
              <w:ind w:left="349" w:right="98" w:hanging="24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每位審查折算點數後，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三位審查人點數和。</w:t>
            </w: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4"/>
                <w:szCs w:val="24"/>
                <w:u w:val="single" w:color="FF0000"/>
              </w:rPr>
              <w:t>A2</w:t>
            </w:r>
            <w:r>
              <w:rPr>
                <w:rFonts w:ascii="Times New Roman" w:hAnsi="Times New Roman" w:cs="Times New Roman" w:eastAsia="Times New Roman"/>
                <w:color w:val="FF0000"/>
                <w:spacing w:val="-2"/>
                <w:sz w:val="24"/>
                <w:szCs w:val="24"/>
                <w:u w:val="single" w:color="FF000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  <w:u w:val="single" w:color="FF0000"/>
              </w:rPr>
              <w:t>各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u w:val="single" w:color="FF0000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計分，除其他相關成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37" w:lineRule="auto"/>
              <w:ind w:left="104" w:right="18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就由院教評會審議外，悉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依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本校教師升等計分表（除技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術報告部分之外審成績外）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技術應用類評定之。</w:t>
            </w:r>
          </w:p>
        </w:tc>
      </w:tr>
      <w:tr>
        <w:trPr>
          <w:trHeight w:val="370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傑出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21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技術報告送外審成績獲</w:t>
            </w:r>
          </w:p>
          <w:p>
            <w:pPr>
              <w:pStyle w:val="TableParagraph"/>
              <w:spacing w:line="275" w:lineRule="auto" w:before="42"/>
              <w:ind w:left="359" w:right="74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三位審查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人</w:t>
            </w:r>
            <w:r>
              <w:rPr>
                <w:rFonts w:ascii="標楷體" w:hAnsi="標楷體" w:cs="標楷體" w:eastAsia="標楷體"/>
                <w:spacing w:val="-8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勾選傑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出</w:t>
            </w:r>
            <w:r>
              <w:rPr>
                <w:rFonts w:ascii="標楷體" w:hAnsi="標楷體" w:cs="標楷體" w:eastAsia="標楷體"/>
                <w:spacing w:val="37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時，院教評會得參考外</w:t>
            </w:r>
          </w:p>
          <w:p>
            <w:pPr>
              <w:pStyle w:val="TableParagraph"/>
              <w:spacing w:line="240" w:lineRule="auto" w:before="11"/>
              <w:ind w:left="35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審委員審查意見酌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加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6"/>
              <w:ind w:left="35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點。</w:t>
            </w:r>
          </w:p>
        </w:tc>
        <w:tc>
          <w:tcPr>
            <w:tcW w:w="3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優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11%-20%)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1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21%-30%)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1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普通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31%-50%)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1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欠佳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後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49%)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21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/>
              <w:ind w:left="104" w:right="9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以上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A2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各項成績合計之總分</w:t>
            </w:r>
            <w:r>
              <w:rPr>
                <w:rFonts w:ascii="標楷體" w:hAnsi="標楷體" w:cs="標楷體" w:eastAsia="標楷體"/>
                <w:spacing w:val="2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不得超過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分。</w:t>
            </w:r>
          </w:p>
        </w:tc>
      </w:tr>
      <w:tr>
        <w:trPr>
          <w:trHeight w:val="816" w:hRule="exact"/>
        </w:trPr>
        <w:tc>
          <w:tcPr>
            <w:tcW w:w="6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3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折算成績分數：合計點數達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點獲基本分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分，每增</w:t>
            </w:r>
          </w:p>
          <w:p>
            <w:pPr>
              <w:pStyle w:val="TableParagraph"/>
              <w:spacing w:line="240" w:lineRule="auto" w:before="42"/>
              <w:ind w:left="13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點加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分，至多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分。本項成績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*0.40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</w:tc>
        <w:tc>
          <w:tcPr>
            <w:tcW w:w="3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9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3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研究部分實得分數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）ｘ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0.7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27"/>
        <w:ind w:left="31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21.609985pt;margin-top:107.202515pt;width:108.3pt;height:.1pt;mso-position-horizontal-relative:page;mso-position-vertical-relative:paragraph;z-index:-11128" coordorigin="8432,2144" coordsize="2166,2">
            <v:shape style="position:absolute;left:8432;top:2144;width:2166;height:2" coordorigin="8432,2144" coordsize="2166,0" path="m8432,2144l10598,2144e" filled="false" stroked="true" strokeweight=".82pt" strokecolor="#ff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</w:rPr>
        <w:t>(</w:t>
      </w:r>
      <w:r>
        <w:rPr/>
        <w:t>三</w:t>
      </w:r>
      <w:r>
        <w:rPr>
          <w:rFonts w:ascii="Times New Roman" w:hAnsi="Times New Roman" w:cs="Times New Roman" w:eastAsia="Times New Roman"/>
        </w:rPr>
        <w:t>)</w:t>
      </w:r>
      <w:r>
        <w:rPr/>
        <w:t>以教學研究著作送審者</w:t>
      </w:r>
      <w:r>
        <w:rPr>
          <w:spacing w:val="1"/>
        </w:rPr>
        <w:t> </w:t>
      </w:r>
      <w:r>
        <w:rPr/>
        <w:t>佔 </w:t>
      </w:r>
      <w:r>
        <w:rPr>
          <w:rFonts w:ascii="Times New Roman" w:hAnsi="Times New Roman" w:cs="Times New Roman" w:eastAsia="Times New Roman"/>
        </w:rPr>
        <w:t>60%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994"/>
        <w:gridCol w:w="2833"/>
        <w:gridCol w:w="3270"/>
      </w:tblGrid>
      <w:tr>
        <w:trPr>
          <w:trHeight w:val="370" w:hRule="exact"/>
        </w:trPr>
        <w:tc>
          <w:tcPr>
            <w:tcW w:w="9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right="8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A.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研究部份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分滿分</w:t>
            </w:r>
          </w:p>
        </w:tc>
      </w:tr>
      <w:tr>
        <w:trPr>
          <w:trHeight w:val="1090" w:hRule="exact"/>
        </w:trPr>
        <w:tc>
          <w:tcPr>
            <w:tcW w:w="6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A1.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教學研究著作外審部份：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60%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/>
              <w:ind w:left="190" w:right="1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七年內本職級研究及教</w:t>
            </w:r>
            <w:r>
              <w:rPr>
                <w:rFonts w:ascii="標楷體" w:hAnsi="標楷體" w:cs="標楷體" w:eastAsia="標楷體"/>
                <w:spacing w:val="2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學計畫獎助及其他相關成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就：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40%</w:t>
            </w:r>
          </w:p>
        </w:tc>
      </w:tr>
      <w:tr>
        <w:trPr>
          <w:trHeight w:val="806" w:hRule="exact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 w:before="61"/>
              <w:ind w:left="392" w:right="131" w:hanging="23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教學研究著作</w:t>
            </w:r>
            <w:r>
              <w:rPr>
                <w:rFonts w:ascii="標楷體" w:hAnsi="標楷體" w:cs="標楷體" w:eastAsia="標楷體"/>
                <w:spacing w:val="-29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外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成績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-</w:t>
            </w: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三位審查人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3"/>
              <w:ind w:left="24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點數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/>
              <w:ind w:left="354" w:right="66" w:hanging="25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每位審查折算點數後，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三位審查人點數和。</w:t>
            </w:r>
          </w:p>
        </w:tc>
        <w:tc>
          <w:tcPr>
            <w:tcW w:w="3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4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pacing w:val="-6"/>
                <w:sz w:val="24"/>
                <w:szCs w:val="24"/>
                <w:u w:val="single" w:color="FF0000"/>
              </w:rPr>
              <w:t>A2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1"/>
                <w:sz w:val="24"/>
                <w:szCs w:val="24"/>
                <w:u w:val="single" w:color="FF000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  <w:u w:val="single" w:color="FF0000"/>
              </w:rPr>
              <w:t>各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-240"/>
                <w:sz w:val="24"/>
                <w:szCs w:val="24"/>
              </w:rPr>
              <w:t>項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pacing w:val="5"/>
                <w:sz w:val="24"/>
                <w:szCs w:val="24"/>
                <w:u w:val="single" w:color="FF0000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pacing w:val="5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計分，除其他教學相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37" w:lineRule="auto"/>
              <w:ind w:left="104" w:right="98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關成就由院教評會審議</w:t>
            </w:r>
            <w:r>
              <w:rPr>
                <w:rFonts w:ascii="標楷體" w:hAnsi="標楷體" w:cs="標楷體" w:eastAsia="標楷體"/>
                <w:color w:val="FF0000"/>
                <w:spacing w:val="-34"/>
                <w:sz w:val="24"/>
                <w:szCs w:val="24"/>
              </w:rPr>
              <w:t>外</w:t>
            </w:r>
            <w:r>
              <w:rPr>
                <w:rFonts w:ascii="標楷體" w:hAnsi="標楷體" w:cs="標楷體" w:eastAsia="標楷體"/>
                <w:color w:val="FF0000"/>
                <w:spacing w:val="-33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悉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依本校教師升等計分</w:t>
            </w:r>
            <w:r>
              <w:rPr>
                <w:rFonts w:ascii="標楷體" w:hAnsi="標楷體" w:cs="標楷體" w:eastAsia="標楷體"/>
                <w:spacing w:val="-72"/>
                <w:sz w:val="24"/>
                <w:szCs w:val="24"/>
              </w:rPr>
              <w:t>表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（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除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教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3"/>
                <w:sz w:val="24"/>
                <w:szCs w:val="24"/>
              </w:rPr>
              <w:t>學研究著作部分之外審成績</w:t>
            </w:r>
            <w:r>
              <w:rPr>
                <w:rFonts w:ascii="標楷體" w:hAnsi="標楷體" w:cs="標楷體" w:eastAsia="標楷體"/>
                <w:spacing w:val="2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外）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教學研究類評定之。</w:t>
            </w:r>
          </w:p>
        </w:tc>
      </w:tr>
      <w:tr>
        <w:trPr>
          <w:trHeight w:val="370" w:hRule="exact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傑出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10%)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27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8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auto"/>
              <w:ind w:left="354" w:right="104" w:hanging="255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教學研究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著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作送外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審</w:t>
            </w:r>
            <w:r>
              <w:rPr>
                <w:rFonts w:ascii="標楷體" w:hAnsi="標楷體" w:cs="標楷體" w:eastAsia="標楷體"/>
                <w:spacing w:val="3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成績獲三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位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審查</w:t>
            </w:r>
            <w:r>
              <w:rPr>
                <w:rFonts w:ascii="標楷體" w:hAnsi="標楷體" w:cs="標楷體" w:eastAsia="標楷體"/>
                <w:spacing w:val="26"/>
                <w:sz w:val="24"/>
                <w:szCs w:val="24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勾</w:t>
            </w:r>
            <w:r>
              <w:rPr>
                <w:rFonts w:ascii="標楷體" w:hAnsi="標楷體" w:cs="標楷體" w:eastAsia="標楷體"/>
                <w:spacing w:val="38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4"/>
                <w:sz w:val="24"/>
                <w:szCs w:val="24"/>
              </w:rPr>
              <w:t>選傑出時，院教評會得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參考外審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委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員審查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意</w:t>
            </w:r>
            <w:r>
              <w:rPr>
                <w:rFonts w:ascii="標楷體" w:hAnsi="標楷體" w:cs="標楷體" w:eastAsia="標楷體"/>
                <w:spacing w:val="3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見酌加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點。</w:t>
            </w:r>
          </w:p>
        </w:tc>
        <w:tc>
          <w:tcPr>
            <w:tcW w:w="3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優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11%-20%)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8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8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21%-30%)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7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8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普通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前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31%-50%)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8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8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欠佳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後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49%)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7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</w:t>
            </w:r>
          </w:p>
        </w:tc>
        <w:tc>
          <w:tcPr>
            <w:tcW w:w="28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/>
              <w:ind w:left="104" w:right="10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以上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A2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各項成績合計之總分</w:t>
            </w:r>
            <w:r>
              <w:rPr>
                <w:rFonts w:ascii="標楷體" w:hAnsi="標楷體" w:cs="標楷體" w:eastAsia="標楷體"/>
                <w:spacing w:val="2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不得超過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分。</w:t>
            </w:r>
          </w:p>
        </w:tc>
      </w:tr>
      <w:tr>
        <w:trPr>
          <w:trHeight w:val="691" w:hRule="exact"/>
        </w:trPr>
        <w:tc>
          <w:tcPr>
            <w:tcW w:w="6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折算成績分數：合計點數達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點獲基本分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分，每增</w:t>
            </w:r>
          </w:p>
          <w:p>
            <w:pPr>
              <w:pStyle w:val="TableParagraph"/>
              <w:spacing w:line="315" w:lineRule="exact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點加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分，至多</w:t>
            </w:r>
            <w:r>
              <w:rPr>
                <w:rFonts w:ascii="標楷體" w:hAnsi="標楷體" w:cs="標楷體" w:eastAsia="標楷體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分。本項成績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*0.6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A1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</w:tc>
        <w:tc>
          <w:tcPr>
            <w:tcW w:w="3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9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3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研究部分實得分數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）ｘ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0.6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0" w:footer="872" w:top="1460" w:bottom="1060" w:left="1100" w:right="1080"/>
        </w:sectPr>
      </w:pPr>
    </w:p>
    <w:p>
      <w:pPr>
        <w:pStyle w:val="BodyText"/>
        <w:tabs>
          <w:tab w:pos="1313" w:val="left" w:leader="none"/>
        </w:tabs>
        <w:spacing w:line="271" w:lineRule="auto" w:before="3"/>
        <w:ind w:left="655" w:right="1569" w:hanging="543"/>
        <w:jc w:val="left"/>
        <w:rPr>
          <w:rFonts w:ascii="Times New Roman" w:hAnsi="Times New Roman" w:cs="Times New Roman" w:eastAsia="Times New Roman"/>
        </w:rPr>
      </w:pPr>
      <w:r>
        <w:rPr/>
        <w:t>二、教學</w:t>
        <w:tab/>
        <w:t>以學術研究</w:t>
      </w:r>
      <w:r>
        <w:rPr>
          <w:rFonts w:ascii="Times New Roman" w:hAnsi="Times New Roman" w:cs="Times New Roman" w:eastAsia="Times New Roman"/>
        </w:rPr>
        <w:t>(</w:t>
      </w:r>
      <w:r>
        <w:rPr/>
        <w:t>含技術應用</w:t>
      </w:r>
      <w:r>
        <w:rPr>
          <w:rFonts w:ascii="Times New Roman" w:hAnsi="Times New Roman" w:cs="Times New Roman" w:eastAsia="Times New Roman"/>
        </w:rPr>
        <w:t>)</w:t>
      </w:r>
      <w:r>
        <w:rPr/>
        <w:t>升等者佔</w:t>
      </w:r>
      <w:r>
        <w:rPr>
          <w:spacing w:val="-63"/>
        </w:rPr>
        <w:t> </w:t>
      </w:r>
      <w:r>
        <w:rPr>
          <w:rFonts w:ascii="Times New Roman" w:hAnsi="Times New Roman" w:cs="Times New Roman" w:eastAsia="Times New Roman"/>
          <w:spacing w:val="-1"/>
        </w:rPr>
        <w:t>20%</w:t>
      </w:r>
      <w:r>
        <w:rPr>
          <w:spacing w:val="-1"/>
        </w:rPr>
        <w:t>、教學研究升等者佔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30%</w:t>
      </w:r>
      <w:r>
        <w:rPr/>
        <w:t>。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一</w:t>
      </w:r>
      <w:r>
        <w:rPr>
          <w:rFonts w:ascii="Times New Roman" w:hAnsi="Times New Roman" w:cs="Times New Roman" w:eastAsia="Times New Roman"/>
        </w:rPr>
        <w:t>)</w:t>
      </w:r>
      <w:r>
        <w:rPr/>
        <w:t>基本分數：系所教評會評定之教學成績</w:t>
      </w:r>
      <w:r>
        <w:rPr>
          <w:rFonts w:ascii="Times New Roman" w:hAnsi="Times New Roman" w:cs="Times New Roman" w:eastAsia="Times New Roman"/>
        </w:rPr>
        <w:t>*80%</w:t>
      </w:r>
    </w:p>
    <w:p>
      <w:pPr>
        <w:pStyle w:val="BodyText"/>
        <w:spacing w:line="240" w:lineRule="auto" w:before="7"/>
        <w:ind w:left="655" w:right="0"/>
        <w:jc w:val="left"/>
      </w:pPr>
      <w:r>
        <w:rPr>
          <w:rFonts w:ascii="Times New Roman" w:hAnsi="Times New Roman" w:cs="Times New Roman" w:eastAsia="Times New Roman"/>
          <w:spacing w:val="2"/>
        </w:rPr>
        <w:t>(</w:t>
      </w:r>
      <w:r>
        <w:rPr>
          <w:spacing w:val="2"/>
        </w:rPr>
        <w:t>二</w:t>
      </w:r>
      <w:r>
        <w:rPr>
          <w:rFonts w:ascii="Times New Roman" w:hAnsi="Times New Roman" w:cs="Times New Roman" w:eastAsia="Times New Roman"/>
          <w:spacing w:val="2"/>
        </w:rPr>
        <w:t>)</w:t>
      </w:r>
      <w:r>
        <w:rPr>
          <w:spacing w:val="2"/>
        </w:rPr>
        <w:t>加分部份</w:t>
      </w:r>
      <w:r>
        <w:rPr/>
        <w:t> </w:t>
      </w:r>
      <w:r>
        <w:rPr>
          <w:rFonts w:ascii="Times New Roman" w:hAnsi="Times New Roman" w:cs="Times New Roman" w:eastAsia="Times New Roman"/>
        </w:rPr>
        <w:t>—  </w:t>
      </w:r>
      <w:r>
        <w:rPr/>
        <w:t>合計最多加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</w:t>
      </w:r>
    </w:p>
    <w:p>
      <w:pPr>
        <w:pStyle w:val="BodyText"/>
        <w:spacing w:line="240" w:lineRule="auto"/>
        <w:ind w:left="963" w:right="0"/>
        <w:jc w:val="left"/>
      </w:pPr>
      <w:r>
        <w:rPr>
          <w:rFonts w:ascii="Times New Roman" w:hAnsi="Times New Roman" w:cs="Times New Roman" w:eastAsia="Times New Roman"/>
        </w:rPr>
        <w:t>1.</w:t>
      </w:r>
      <w:r>
        <w:rPr/>
        <w:t>一般加分</w:t>
      </w:r>
      <w:r>
        <w:rPr>
          <w:rFonts w:ascii="Times New Roman" w:hAnsi="Times New Roman" w:cs="Times New Roman" w:eastAsia="Times New Roman"/>
        </w:rPr>
        <w:t>—  </w:t>
      </w:r>
      <w:r>
        <w:rPr/>
        <w:t>最多加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分，由院教評會就所提供資料評定成績。</w:t>
      </w:r>
    </w:p>
    <w:p>
      <w:pPr>
        <w:pStyle w:val="BodyText"/>
        <w:spacing w:line="257" w:lineRule="auto" w:before="13"/>
        <w:ind w:left="1553" w:right="0" w:hanging="591"/>
        <w:jc w:val="left"/>
      </w:pPr>
      <w:r>
        <w:rPr>
          <w:rFonts w:ascii="Times New Roman" w:hAnsi="Times New Roman" w:cs="Times New Roman" w:eastAsia="Times New Roman"/>
          <w:spacing w:val="-1"/>
        </w:rPr>
        <w:t>2.</w:t>
      </w:r>
      <w:r>
        <w:rPr>
          <w:spacing w:val="-1"/>
        </w:rPr>
        <w:t>傑出</w:t>
      </w:r>
      <w:r>
        <w:rPr>
          <w:rFonts w:ascii="Times New Roman" w:hAnsi="Times New Roman" w:cs="Times New Roman" w:eastAsia="Times New Roman"/>
          <w:spacing w:val="-1"/>
        </w:rPr>
        <w:t>/</w:t>
      </w:r>
      <w:r>
        <w:rPr>
          <w:spacing w:val="-1"/>
        </w:rPr>
        <w:t>績優教學獎加分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同一年度獎項，校院僅得擇一計算，且最多採計二次。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(1)</w:t>
      </w:r>
      <w:r>
        <w:rPr/>
        <w:t>校傑出教學獎加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</w:t>
      </w:r>
    </w:p>
    <w:p>
      <w:pPr>
        <w:pStyle w:val="BodyText"/>
        <w:spacing w:line="240" w:lineRule="auto" w:before="23"/>
        <w:ind w:left="1553" w:right="0"/>
        <w:jc w:val="left"/>
      </w:pPr>
      <w:r>
        <w:rPr>
          <w:rFonts w:ascii="Times New Roman" w:hAnsi="Times New Roman" w:cs="Times New Roman" w:eastAsia="Times New Roman"/>
        </w:rPr>
        <w:t>(2)</w:t>
      </w:r>
      <w:r>
        <w:rPr/>
        <w:t>校優良</w:t>
      </w:r>
      <w:r>
        <w:rPr>
          <w:rFonts w:ascii="Times New Roman" w:hAnsi="Times New Roman" w:cs="Times New Roman" w:eastAsia="Times New Roman"/>
        </w:rPr>
        <w:t>/</w:t>
      </w:r>
      <w:r>
        <w:rPr/>
        <w:t>績優教學獎加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</w:t>
      </w:r>
    </w:p>
    <w:p>
      <w:pPr>
        <w:pStyle w:val="BodyText"/>
        <w:spacing w:line="240" w:lineRule="auto"/>
        <w:ind w:left="1553" w:right="0"/>
        <w:jc w:val="left"/>
      </w:pPr>
      <w:r>
        <w:rPr>
          <w:rFonts w:ascii="Times New Roman" w:hAnsi="Times New Roman" w:cs="Times New Roman" w:eastAsia="Times New Roman"/>
        </w:rPr>
        <w:t>(3)</w:t>
      </w:r>
      <w:r>
        <w:rPr/>
        <w:t>院傑出</w:t>
      </w:r>
      <w:r>
        <w:rPr>
          <w:rFonts w:ascii="Times New Roman" w:hAnsi="Times New Roman" w:cs="Times New Roman" w:eastAsia="Times New Roman"/>
        </w:rPr>
        <w:t>/</w:t>
      </w:r>
      <w:r>
        <w:rPr/>
        <w:t>績優教學獎加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</w:t>
      </w:r>
    </w:p>
    <w:p>
      <w:pPr>
        <w:pStyle w:val="BodyText"/>
        <w:spacing w:line="240" w:lineRule="auto"/>
        <w:ind w:left="963" w:right="0"/>
        <w:jc w:val="left"/>
      </w:pPr>
      <w:r>
        <w:rPr>
          <w:rFonts w:ascii="Times New Roman" w:hAnsi="Times New Roman" w:cs="Times New Roman" w:eastAsia="Times New Roman"/>
          <w:spacing w:val="-1"/>
        </w:rPr>
        <w:t>3.</w:t>
      </w:r>
      <w:r>
        <w:rPr>
          <w:spacing w:val="-1"/>
        </w:rPr>
        <w:t>通識課程：現職職級支援開設通識課程，每開一門加計</w:t>
      </w:r>
      <w:r>
        <w:rPr>
          <w:spacing w:val="-6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分，多人合授一門合計</w:t>
      </w:r>
    </w:p>
    <w:p>
      <w:pPr>
        <w:pStyle w:val="BodyText"/>
        <w:spacing w:line="271" w:lineRule="auto"/>
        <w:ind w:left="1131" w:right="0"/>
        <w:jc w:val="left"/>
      </w:pPr>
      <w:r>
        <w:rPr/>
        <w:t>給</w:t>
      </w:r>
      <w:r>
        <w:rPr>
          <w:spacing w:val="-6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分，最多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  <w:spacing w:val="4"/>
        </w:rPr>
        <w:t>1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分，並依本校「教師升等</w:t>
      </w:r>
      <w:r>
        <w:rPr>
          <w:spacing w:val="4"/>
        </w:rPr>
        <w:t>計</w:t>
      </w:r>
      <w:r>
        <w:rPr/>
        <w:t>分表</w:t>
      </w:r>
      <w:r>
        <w:rPr>
          <w:spacing w:val="-120"/>
        </w:rPr>
        <w:t>」</w:t>
      </w:r>
      <w:r>
        <w:rPr/>
        <w:t>（除研究部分之外審成績外）</w:t>
      </w:r>
      <w:r>
        <w:rPr/>
        <w:t> 該項教務處審查結果計列得分。</w:t>
      </w:r>
    </w:p>
    <w:p>
      <w:pPr>
        <w:pStyle w:val="BodyText"/>
        <w:spacing w:line="240" w:lineRule="auto" w:before="14"/>
        <w:ind w:left="963" w:right="0"/>
        <w:jc w:val="left"/>
      </w:pPr>
      <w:r>
        <w:rPr>
          <w:rFonts w:ascii="Times New Roman" w:hAnsi="Times New Roman" w:cs="Times New Roman" w:eastAsia="Times New Roman"/>
        </w:rPr>
        <w:t>4.</w:t>
      </w:r>
      <w:r>
        <w:rPr/>
        <w:t>執行卓越教學計畫，由教務處審查每件</w:t>
      </w:r>
      <w:r>
        <w:rPr>
          <w:spacing w:val="-61"/>
        </w:rPr>
        <w:t> </w:t>
      </w:r>
      <w:r>
        <w:rPr>
          <w:rFonts w:ascii="Times New Roman" w:hAnsi="Times New Roman" w:cs="Times New Roman" w:eastAsia="Times New Roman"/>
        </w:rPr>
        <w:t>0.5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分，最多加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分。</w:t>
      </w:r>
    </w:p>
    <w:p>
      <w:pPr>
        <w:pStyle w:val="BodyText"/>
        <w:spacing w:line="240" w:lineRule="auto" w:before="37"/>
        <w:ind w:right="0" w:firstLine="537"/>
        <w:jc w:val="left"/>
      </w:pPr>
      <w:r>
        <w:rPr>
          <w:rFonts w:ascii="Times New Roman" w:hAnsi="Times New Roman" w:cs="Times New Roman" w:eastAsia="Times New Roman"/>
        </w:rPr>
        <w:t>(</w:t>
      </w:r>
      <w:r>
        <w:rPr/>
        <w:t>三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40"/>
        </w:rPr>
        <w:t> </w:t>
      </w:r>
      <w:r>
        <w:rPr/>
        <w:t>扣分部份 — 教學不佳的具體事證，最多扣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分。</w:t>
      </w:r>
    </w:p>
    <w:p>
      <w:pPr>
        <w:spacing w:line="240" w:lineRule="auto" w:before="7"/>
        <w:rPr>
          <w:rFonts w:ascii="標楷體" w:hAnsi="標楷體" w:cs="標楷體" w:eastAsia="標楷體"/>
          <w:sz w:val="17"/>
          <w:szCs w:val="17"/>
        </w:rPr>
      </w:pPr>
    </w:p>
    <w:p>
      <w:pPr>
        <w:pStyle w:val="BodyText"/>
        <w:tabs>
          <w:tab w:pos="1313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t>三、服務</w:t>
        <w:tab/>
        <w:t>佔</w:t>
      </w:r>
      <w:r>
        <w:rPr>
          <w:spacing w:val="-63"/>
        </w:rPr>
        <w:t> </w:t>
      </w:r>
      <w:r>
        <w:rPr>
          <w:rFonts w:ascii="Times New Roman" w:hAnsi="Times New Roman" w:cs="Times New Roman" w:eastAsia="Times New Roman"/>
        </w:rPr>
        <w:t>10%</w:t>
      </w:r>
    </w:p>
    <w:p>
      <w:pPr>
        <w:pStyle w:val="BodyText"/>
        <w:spacing w:line="271" w:lineRule="auto"/>
        <w:ind w:left="655" w:right="2753"/>
        <w:jc w:val="left"/>
      </w:pPr>
      <w:r>
        <w:rPr>
          <w:rFonts w:ascii="Times New Roman" w:hAnsi="Times New Roman" w:cs="Times New Roman" w:eastAsia="Times New Roman"/>
        </w:rPr>
        <w:t>(</w:t>
      </w:r>
      <w:r>
        <w:rPr/>
        <w:t>一</w:t>
      </w:r>
      <w:r>
        <w:rPr>
          <w:rFonts w:ascii="Times New Roman" w:hAnsi="Times New Roman" w:cs="Times New Roman" w:eastAsia="Times New Roman"/>
        </w:rPr>
        <w:t>)</w:t>
      </w:r>
      <w:r>
        <w:rPr/>
        <w:t>基本分數：系所教評會評定之服務成績</w:t>
      </w:r>
      <w:r>
        <w:rPr>
          <w:rFonts w:ascii="Times New Roman" w:hAnsi="Times New Roman" w:cs="Times New Roman" w:eastAsia="Times New Roman"/>
        </w:rPr>
        <w:t>*80%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2"/>
        </w:rPr>
        <w:t>(</w:t>
      </w:r>
      <w:r>
        <w:rPr>
          <w:spacing w:val="2"/>
        </w:rPr>
        <w:t>二</w:t>
      </w:r>
      <w:r>
        <w:rPr>
          <w:rFonts w:ascii="Times New Roman" w:hAnsi="Times New Roman" w:cs="Times New Roman" w:eastAsia="Times New Roman"/>
          <w:spacing w:val="2"/>
        </w:rPr>
        <w:t>)</w:t>
      </w:r>
      <w:r>
        <w:rPr>
          <w:spacing w:val="2"/>
        </w:rPr>
        <w:t>加分部份</w:t>
      </w:r>
      <w:r>
        <w:rPr/>
        <w:t> </w:t>
      </w:r>
      <w:r>
        <w:rPr>
          <w:rFonts w:ascii="Times New Roman" w:hAnsi="Times New Roman" w:cs="Times New Roman" w:eastAsia="Times New Roman"/>
        </w:rPr>
        <w:t>—</w:t>
      </w:r>
      <w:r>
        <w:rPr/>
        <w:t>合計最多加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20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</w:t>
      </w:r>
    </w:p>
    <w:p>
      <w:pPr>
        <w:pStyle w:val="BodyText"/>
        <w:spacing w:line="273" w:lineRule="auto" w:before="7"/>
        <w:ind w:left="2499" w:right="0" w:hanging="14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1.</w:t>
      </w:r>
      <w:r>
        <w:rPr/>
        <w:t>一般加分</w:t>
      </w:r>
      <w:r>
        <w:rPr>
          <w:rFonts w:ascii="Times New Roman" w:hAnsi="Times New Roman" w:cs="Times New Roman" w:eastAsia="Times New Roman"/>
        </w:rPr>
        <w:t>—  </w:t>
      </w:r>
      <w:r>
        <w:rPr/>
        <w:t>最多加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</w:t>
      </w:r>
      <w:r>
        <w:rPr>
          <w:rFonts w:ascii="Times New Roman" w:hAnsi="Times New Roman" w:cs="Times New Roman" w:eastAsia="Times New Roman"/>
        </w:rPr>
        <w:t>(</w:t>
      </w:r>
      <w:r>
        <w:rPr/>
        <w:t>例如：參與招生宣導事項、大學部、碩、博士班招生考</w:t>
      </w:r>
      <w:r>
        <w:rPr>
          <w:spacing w:val="23"/>
        </w:rPr>
        <w:t> </w:t>
      </w:r>
      <w:r>
        <w:rPr/>
        <w:t>試監考；擔任性別平等委員會之委員、學生學期成績準時繳交及擔任</w:t>
      </w:r>
      <w:r>
        <w:rPr/>
        <w:t> 導師表現稱職等</w:t>
      </w:r>
      <w:r>
        <w:rPr>
          <w:rFonts w:ascii="Times New Roman" w:hAnsi="Times New Roman" w:cs="Times New Roman" w:eastAsia="Times New Roman"/>
        </w:rPr>
        <w:t>)</w:t>
      </w:r>
    </w:p>
    <w:p>
      <w:pPr>
        <w:pStyle w:val="BodyText"/>
        <w:spacing w:line="240" w:lineRule="auto" w:before="5"/>
        <w:ind w:left="1016" w:right="0"/>
        <w:jc w:val="left"/>
      </w:pPr>
      <w:r>
        <w:rPr>
          <w:rFonts w:ascii="Times New Roman" w:hAnsi="Times New Roman" w:cs="Times New Roman" w:eastAsia="Times New Roman"/>
        </w:rPr>
        <w:t>2.</w:t>
      </w:r>
      <w:r>
        <w:rPr/>
        <w:t>校優良導師獎加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分</w:t>
      </w:r>
    </w:p>
    <w:p>
      <w:pPr>
        <w:pStyle w:val="BodyText"/>
        <w:spacing w:line="240" w:lineRule="auto"/>
        <w:ind w:left="1016" w:right="0"/>
        <w:jc w:val="left"/>
      </w:pPr>
      <w:r>
        <w:rPr>
          <w:rFonts w:ascii="Times New Roman" w:hAnsi="Times New Roman" w:cs="Times New Roman" w:eastAsia="Times New Roman"/>
        </w:rPr>
        <w:t>3.</w:t>
      </w:r>
      <w:r>
        <w:rPr/>
        <w:t>院優良導師獎加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</w:t>
      </w:r>
    </w:p>
    <w:p>
      <w:pPr>
        <w:pStyle w:val="BodyText"/>
        <w:spacing w:line="315" w:lineRule="exact" w:before="13"/>
        <w:ind w:left="992" w:right="0"/>
        <w:jc w:val="left"/>
      </w:pPr>
      <w:r>
        <w:rPr>
          <w:rFonts w:ascii="Times New Roman" w:hAnsi="Times New Roman" w:cs="Times New Roman" w:eastAsia="Times New Roman"/>
          <w:spacing w:val="-1"/>
        </w:rPr>
        <w:t>4.</w:t>
      </w:r>
      <w:r>
        <w:rPr>
          <w:spacing w:val="-1"/>
        </w:rPr>
        <w:t>行政服務：擔任校編制內行政或學術行政主管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最多加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</w:t>
      </w:r>
    </w:p>
    <w:p>
      <w:pPr>
        <w:pStyle w:val="BodyText"/>
        <w:spacing w:line="312" w:lineRule="exact" w:before="13"/>
        <w:ind w:left="1102" w:right="0"/>
        <w:jc w:val="left"/>
      </w:pPr>
      <w:r>
        <w:rPr/>
        <w:t>一級主管每學期加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分，二級主管每學期加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  <w:spacing w:val="2"/>
        </w:rPr>
        <w:t>1.5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</w:t>
      </w:r>
      <w:r>
        <w:rPr>
          <w:rFonts w:ascii="Times New Roman" w:hAnsi="Times New Roman" w:cs="Times New Roman" w:eastAsia="Times New Roman"/>
        </w:rPr>
        <w:t>(</w:t>
      </w:r>
      <w:r>
        <w:rPr/>
        <w:t>未滿一學期，以一學期計算</w:t>
      </w:r>
      <w:r>
        <w:rPr>
          <w:rFonts w:ascii="Times New Roman" w:hAnsi="Times New Roman" w:cs="Times New Roman" w:eastAsia="Times New Roman"/>
        </w:rPr>
        <w:t>)</w:t>
      </w:r>
      <w:r>
        <w:rPr/>
        <w:t>，</w:t>
      </w:r>
      <w:r>
        <w:rPr>
          <w:spacing w:val="24"/>
        </w:rPr>
        <w:t> </w:t>
      </w:r>
      <w:r>
        <w:rPr/>
        <w:t>如同時擔任二個以上編制內行政或學術主管者，依上開標準分別採計計分。</w:t>
      </w:r>
    </w:p>
    <w:p>
      <w:pPr>
        <w:pStyle w:val="BodyText"/>
        <w:spacing w:line="406" w:lineRule="auto" w:before="7"/>
        <w:ind w:right="2753" w:firstLine="537"/>
        <w:jc w:val="left"/>
      </w:pPr>
      <w:r>
        <w:rPr>
          <w:rFonts w:ascii="Times New Roman" w:hAnsi="Times New Roman" w:cs="Times New Roman" w:eastAsia="Times New Roman"/>
        </w:rPr>
        <w:t>(</w:t>
      </w:r>
      <w:r>
        <w:rPr/>
        <w:t>三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40"/>
        </w:rPr>
        <w:t> </w:t>
      </w:r>
      <w:r>
        <w:rPr/>
        <w:t>扣分部份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服務不佳的具體事證，最多扣</w:t>
      </w:r>
      <w:r>
        <w:rPr>
          <w:spacing w:val="-61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分。</w:t>
      </w:r>
      <w:r>
        <w:rPr>
          <w:spacing w:val="21"/>
        </w:rPr>
        <w:t> </w:t>
      </w:r>
      <w:r>
        <w:rPr/>
        <w:t>四、總分達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</w:rPr>
        <w:t>70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分以上者通過升等。</w:t>
      </w:r>
    </w:p>
    <w:p>
      <w:pPr>
        <w:pStyle w:val="BodyText"/>
        <w:spacing w:line="240" w:lineRule="auto" w:before="45"/>
        <w:ind w:right="0"/>
        <w:jc w:val="left"/>
      </w:pPr>
      <w:r>
        <w:rPr/>
        <w:t>五、本細則經院教師評審委員會通過，送校教師評審委員會審議後實施，修正時亦同。</w:t>
      </w:r>
    </w:p>
    <w:sectPr>
      <w:pgSz w:w="11910" w:h="16840"/>
      <w:pgMar w:header="0" w:footer="872" w:top="1100" w:bottom="106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699997pt;margin-top:787.343872pt;width:85.8pt;height:14.05pt;mso-position-horizontal-relative:page;mso-position-vertical-relative:page;z-index:-1122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</w:pPr>
                <w:r>
                  <w:rPr/>
                  <w:t>第</w:t>
                </w:r>
                <w:r>
                  <w:rPr>
                    <w:spacing w:val="-6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6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/>
                  <w:t>頁，共</w:t>
                </w:r>
                <w:r>
                  <w:rPr>
                    <w:spacing w:val="-5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/>
                  <w:t>頁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2"/>
      <w:ind w:left="113"/>
    </w:pPr>
    <w:rPr>
      <w:rFonts w:ascii="標楷體" w:hAnsi="標楷體" w:eastAsia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國立中山大學理學院教師升等審查評分細則</dc:title>
  <dcterms:created xsi:type="dcterms:W3CDTF">2019-07-12T08:17:37Z</dcterms:created>
  <dcterms:modified xsi:type="dcterms:W3CDTF">2019-07-12T08:17:37Z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2019-07-12T00:00:00Z</vt:filetime>
  </property>
</Properties>
</file>